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b w:val="1"/>
          <w:color w:val="374151"/>
          <w:sz w:val="26"/>
          <w:szCs w:val="26"/>
          <w:rtl w:val="0"/>
        </w:rPr>
        <w:t xml:space="preserve">Whistleblower Politik</w:t>
        <w:br w:type="textWrapping"/>
      </w:r>
      <w:r w:rsidDel="00000000" w:rsidR="00000000" w:rsidRPr="00000000">
        <w:rPr>
          <w:rFonts w:ascii="Roboto" w:cs="Roboto" w:eastAsia="Roboto" w:hAnsi="Roboto"/>
          <w:color w:val="374151"/>
          <w:sz w:val="24"/>
          <w:szCs w:val="24"/>
          <w:rtl w:val="0"/>
        </w:rPr>
        <w:t xml:space="preserve">Whistleblowerordning har til formål at øge mulighederne for, at ansatte kan ytre sig om kritisable forhold på arbejdspladsen uden at frygte for negative konsekvenser. Formålet med whistleblowerordningen er således at sikre åbenhed og gennemsigtighed i forhold til eventuelle (lov)overtrædelser og alvorlige uregelmæssigheder.</w:t>
      </w:r>
    </w:p>
    <w:p w:rsidR="00000000" w:rsidDel="00000000" w:rsidP="00000000" w:rsidRDefault="00000000" w:rsidRPr="00000000" w14:paraId="00000002">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Whistleblowerordningen skal ses som et supplement til den direkte og daglige kommunikation på arbejdspladsen om fejl og utilfredsstillende forhold, mv. Ordningen udgør desuden et supplement til eksisterende muligheder for f.eks. at rette henvendelse til nærmeste leder, [HR-afdelingen eller tillidsrepræsentanten].</w:t>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Virksomheden opfordrer til at anvende whistleblowerordning, således at eventuelle overtrædelser kan imødegås hurtigt og effektivt internt. Whistlebloweren kan dog frit vælge mellem at indgive indberetning til arbejdspladsens whistleblowerordning eller en ekstern whistleblowerordning (Datatilsynet).</w:t>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Whistleblowerordning udelukker ikke muligheden for at indberette via eksterne kanaler som f.eks. tilsynsmyndigheder.</w:t>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b w:val="1"/>
          <w:color w:val="374151"/>
          <w:sz w:val="24"/>
          <w:szCs w:val="24"/>
          <w:rtl w:val="0"/>
        </w:rPr>
        <w:t xml:space="preserve">Whistleblowerenhed</w:t>
        <w:br w:type="textWrapping"/>
      </w:r>
      <w:r w:rsidDel="00000000" w:rsidR="00000000" w:rsidRPr="00000000">
        <w:rPr>
          <w:rFonts w:ascii="Roboto" w:cs="Roboto" w:eastAsia="Roboto" w:hAnsi="Roboto"/>
          <w:color w:val="374151"/>
          <w:sz w:val="24"/>
          <w:szCs w:val="24"/>
          <w:rtl w:val="0"/>
        </w:rPr>
        <w:t xml:space="preserve">Indberetninger til whistleblowerordning behandles af [stillingsbetegnelse og navn eller afdeling].</w:t>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Spørgsmål til de enkelte indberetninger eller [Virksomhedens] whistleblowerordning i det hele taget kan rettes til: </w:t>
        <w:br w:type="textWrapping"/>
        <w:t xml:space="preserve">[navn] </w:t>
        <w:br w:type="textWrapping"/>
        <w:t xml:space="preserve">[stillingsbetegnelse] </w:t>
        <w:br w:type="textWrapping"/>
        <w:t xml:space="preserve">[kontaktoplysninger].</w:t>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Whistleblowerordning anvender Woba.io til registrering og behandling af indberetninger. </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b w:val="1"/>
          <w:color w:val="374151"/>
          <w:sz w:val="24"/>
          <w:szCs w:val="24"/>
          <w:rtl w:val="0"/>
        </w:rPr>
        <w:t xml:space="preserve">Hvordan anmelder jeg?</w:t>
        <w:br w:type="textWrapping"/>
      </w:r>
      <w:r w:rsidDel="00000000" w:rsidR="00000000" w:rsidRPr="00000000">
        <w:rPr>
          <w:rFonts w:ascii="Roboto" w:cs="Roboto" w:eastAsia="Roboto" w:hAnsi="Roboto"/>
          <w:color w:val="374151"/>
          <w:sz w:val="24"/>
          <w:szCs w:val="24"/>
          <w:rtl w:val="0"/>
        </w:rPr>
        <w:t xml:space="preserve">Som medarbejder tilgår man whistleblowerordning ved at logge ind på Woba.dk eller via Wobas native app. Enhver anmeldelse er 100 % anonym, og der er ingen mulighed for at tracke eller registrere anmeldelser. I hovedmenuen er der et link, der hedder "Whistleblower"; herunder kan man helt anonymt fremsende en chat, som ender hos Virksomhedens Whistleblowerenhed. For at sikre anonymitet bruger vi end-to-end kryptering, fjerner metadata fra alle uploadede filer og sporer ikke IP-adresser.</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b w:val="1"/>
          <w:color w:val="374151"/>
          <w:sz w:val="24"/>
          <w:szCs w:val="24"/>
          <w:rtl w:val="0"/>
        </w:rPr>
        <w:t xml:space="preserve">Oplysninger, der kan indberettes om</w:t>
        <w:br w:type="textWrapping"/>
      </w:r>
      <w:r w:rsidDel="00000000" w:rsidR="00000000" w:rsidRPr="00000000">
        <w:rPr>
          <w:rFonts w:ascii="Roboto" w:cs="Roboto" w:eastAsia="Roboto" w:hAnsi="Roboto"/>
          <w:color w:val="374151"/>
          <w:sz w:val="24"/>
          <w:szCs w:val="24"/>
          <w:rtl w:val="0"/>
        </w:rPr>
        <w:t xml:space="preserve">Whistleblowerordning kan anvendes til indberetning af oplysninger om alvorlige overtrædelser eller øvrige alvorlige forhold, som ikke nødvendigvis kan henføres til en bestemt lovovertrædelse. Der kan indberettes om forhold, der har fundet sted eller vil finde sted i virksomheden.</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En lovovertrædelse eller et øvrigt forhold vil som udgangspunkt være alvorligt, hvis det er i offentlighedens interesse at få det frem i lyset. Overtrædelser af bagatelagtig karakter er ikke omfattet, ligesom overtrædelser af accessoriske bestemmelser heller ikke er omfattet.</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Indberetninger om whistleblowerens eget ansættelsesforhold er som udgangspunkt ikke omfattet, medmindre der er tale om seksuel chikane eller grov chikane.</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Oplysninger om øvrige forhold, herunder oplysninger om overtrædelser af interne retningslinjer af mindre alvorlig karakter, såsom regler om sygefravær, påklædning, og oplysninger om andre personale-relaterede konflikter på arbejdspladsen, vil som udgangspunkt ikke anses som grove overtrædelser og skal derfor ikke indberettes til whistleblowerordning. Sådanne oplysninger kan i overensstemmelse med gældende retningslinjer indgives til [nærmeste leder, personale-/HR-afdeling eller en tillidsrepræsentant].</w:t>
      </w:r>
    </w:p>
    <w:p w:rsidR="00000000" w:rsidDel="00000000" w:rsidP="00000000" w:rsidRDefault="00000000" w:rsidRPr="00000000" w14:paraId="0000000D">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Det forudsættes, at whistlebloweren er i god tro om oplysningernes rigtighed.</w:t>
      </w:r>
    </w:p>
    <w:p w:rsidR="00000000" w:rsidDel="00000000" w:rsidP="00000000" w:rsidRDefault="00000000" w:rsidRPr="00000000" w14:paraId="0000000E">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b w:val="1"/>
          <w:color w:val="374151"/>
          <w:sz w:val="24"/>
          <w:szCs w:val="24"/>
          <w:rtl w:val="0"/>
        </w:rPr>
        <w:t xml:space="preserve">Bilag 1 </w:t>
      </w:r>
      <w:r w:rsidDel="00000000" w:rsidR="00000000" w:rsidRPr="00000000">
        <w:rPr>
          <w:rFonts w:ascii="Roboto" w:cs="Roboto" w:eastAsia="Roboto" w:hAnsi="Roboto"/>
          <w:color w:val="374151"/>
          <w:sz w:val="24"/>
          <w:szCs w:val="24"/>
          <w:rtl w:val="0"/>
        </w:rPr>
        <w:br w:type="textWrapping"/>
        <w:t xml:space="preserve">Eksempler på alvorlige lovovertrædelser</w:t>
      </w:r>
    </w:p>
    <w:p w:rsidR="00000000" w:rsidDel="00000000" w:rsidP="00000000" w:rsidRDefault="00000000" w:rsidRPr="00000000" w14:paraId="0000000F">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Overtrædelser af straffeloven, der i almindelighed vil være omfattet af anvendelsesområdet:</w:t>
      </w:r>
    </w:p>
    <w:p w:rsidR="00000000" w:rsidDel="00000000" w:rsidP="00000000" w:rsidRDefault="00000000" w:rsidRPr="00000000" w14:paraId="00000010">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pPr>
      <w:r w:rsidDel="00000000" w:rsidR="00000000" w:rsidRPr="00000000">
        <w:rPr>
          <w:rFonts w:ascii="Roboto" w:cs="Roboto" w:eastAsia="Roboto" w:hAnsi="Roboto"/>
          <w:color w:val="374151"/>
          <w:sz w:val="24"/>
          <w:szCs w:val="24"/>
          <w:rtl w:val="0"/>
        </w:rPr>
        <w:t xml:space="preserve">Bestikkelse, jf. straffelovens § 144.</w:t>
      </w:r>
    </w:p>
    <w:p w:rsidR="00000000" w:rsidDel="00000000" w:rsidP="00000000" w:rsidRDefault="00000000" w:rsidRPr="00000000" w14:paraId="00000011">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pPr>
      <w:r w:rsidDel="00000000" w:rsidR="00000000" w:rsidRPr="00000000">
        <w:rPr>
          <w:rFonts w:ascii="Roboto" w:cs="Roboto" w:eastAsia="Roboto" w:hAnsi="Roboto"/>
          <w:color w:val="374151"/>
          <w:sz w:val="24"/>
          <w:szCs w:val="24"/>
          <w:rtl w:val="0"/>
        </w:rPr>
        <w:t xml:space="preserve">Dokumentfalsk, jf. straffelovens § 171.</w:t>
      </w:r>
    </w:p>
    <w:p w:rsidR="00000000" w:rsidDel="00000000" w:rsidP="00000000" w:rsidRDefault="00000000" w:rsidRPr="00000000" w14:paraId="00000012">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pPr>
      <w:r w:rsidDel="00000000" w:rsidR="00000000" w:rsidRPr="00000000">
        <w:rPr>
          <w:rFonts w:ascii="Roboto" w:cs="Roboto" w:eastAsia="Roboto" w:hAnsi="Roboto"/>
          <w:color w:val="374151"/>
          <w:sz w:val="24"/>
          <w:szCs w:val="24"/>
          <w:rtl w:val="0"/>
        </w:rPr>
        <w:t xml:space="preserve">Hacking, aflytning, optagelse af samtaler mellem andre m.v., jf. straffelovens § 263.</w:t>
      </w:r>
    </w:p>
    <w:p w:rsidR="00000000" w:rsidDel="00000000" w:rsidP="00000000" w:rsidRDefault="00000000" w:rsidRPr="00000000" w14:paraId="00000013">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pPr>
      <w:r w:rsidDel="00000000" w:rsidR="00000000" w:rsidRPr="00000000">
        <w:rPr>
          <w:rFonts w:ascii="Roboto" w:cs="Roboto" w:eastAsia="Roboto" w:hAnsi="Roboto"/>
          <w:color w:val="374151"/>
          <w:sz w:val="24"/>
          <w:szCs w:val="24"/>
          <w:rtl w:val="0"/>
        </w:rPr>
        <w:t xml:space="preserve">Tyveri, jf. straffelovens § 276.</w:t>
      </w:r>
    </w:p>
    <w:p w:rsidR="00000000" w:rsidDel="00000000" w:rsidP="00000000" w:rsidRDefault="00000000" w:rsidRPr="00000000" w14:paraId="00000014">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pPr>
      <w:r w:rsidDel="00000000" w:rsidR="00000000" w:rsidRPr="00000000">
        <w:rPr>
          <w:rFonts w:ascii="Roboto" w:cs="Roboto" w:eastAsia="Roboto" w:hAnsi="Roboto"/>
          <w:color w:val="374151"/>
          <w:sz w:val="24"/>
          <w:szCs w:val="24"/>
          <w:rtl w:val="0"/>
        </w:rPr>
        <w:t xml:space="preserve">Underslæb, jf. straffelovens § 278.</w:t>
      </w:r>
    </w:p>
    <w:p w:rsidR="00000000" w:rsidDel="00000000" w:rsidP="00000000" w:rsidRDefault="00000000" w:rsidRPr="00000000" w14:paraId="00000015">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pPr>
      <w:r w:rsidDel="00000000" w:rsidR="00000000" w:rsidRPr="00000000">
        <w:rPr>
          <w:rFonts w:ascii="Roboto" w:cs="Roboto" w:eastAsia="Roboto" w:hAnsi="Roboto"/>
          <w:color w:val="374151"/>
          <w:sz w:val="24"/>
          <w:szCs w:val="24"/>
          <w:rtl w:val="0"/>
        </w:rPr>
        <w:t xml:space="preserve">Bedrageri, jf. straffelovens § 279.</w:t>
      </w:r>
    </w:p>
    <w:p w:rsidR="00000000" w:rsidDel="00000000" w:rsidP="00000000" w:rsidRDefault="00000000" w:rsidRPr="00000000" w14:paraId="00000016">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pPr>
      <w:r w:rsidDel="00000000" w:rsidR="00000000" w:rsidRPr="00000000">
        <w:rPr>
          <w:rFonts w:ascii="Roboto" w:cs="Roboto" w:eastAsia="Roboto" w:hAnsi="Roboto"/>
          <w:color w:val="374151"/>
          <w:sz w:val="24"/>
          <w:szCs w:val="24"/>
          <w:rtl w:val="0"/>
        </w:rPr>
        <w:t xml:space="preserve">Databedrageri, jf. straffelovens § 279a.</w:t>
      </w:r>
    </w:p>
    <w:p w:rsidR="00000000" w:rsidDel="00000000" w:rsidP="00000000" w:rsidRDefault="00000000" w:rsidRPr="00000000" w14:paraId="00000017">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pPr>
      <w:r w:rsidDel="00000000" w:rsidR="00000000" w:rsidRPr="00000000">
        <w:rPr>
          <w:rFonts w:ascii="Roboto" w:cs="Roboto" w:eastAsia="Roboto" w:hAnsi="Roboto"/>
          <w:color w:val="374151"/>
          <w:sz w:val="24"/>
          <w:szCs w:val="24"/>
          <w:rtl w:val="0"/>
        </w:rPr>
        <w:t xml:space="preserve">Mandatsvig, jf. straffelovens § 280.</w:t>
      </w:r>
    </w:p>
    <w:p w:rsidR="00000000" w:rsidDel="00000000" w:rsidP="00000000" w:rsidRDefault="00000000" w:rsidRPr="00000000" w14:paraId="00000018">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pPr>
      <w:r w:rsidDel="00000000" w:rsidR="00000000" w:rsidRPr="00000000">
        <w:rPr>
          <w:rFonts w:ascii="Roboto" w:cs="Roboto" w:eastAsia="Roboto" w:hAnsi="Roboto"/>
          <w:color w:val="374151"/>
          <w:sz w:val="24"/>
          <w:szCs w:val="24"/>
          <w:rtl w:val="0"/>
        </w:rPr>
        <w:t xml:space="preserve">Afpresning, jf. straffelovens § 281.</w:t>
      </w:r>
    </w:p>
    <w:p w:rsidR="00000000" w:rsidDel="00000000" w:rsidP="00000000" w:rsidRDefault="00000000" w:rsidRPr="00000000" w14:paraId="00000019">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Overtrædelser af særlovgivning eller anden lovgivning, der i almindelighed vil være omfattet af anvendelsesområdet:</w:t>
      </w:r>
    </w:p>
    <w:p w:rsidR="00000000" w:rsidDel="00000000" w:rsidP="00000000" w:rsidRDefault="00000000" w:rsidRPr="00000000" w14:paraId="0000001A">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pPr>
      <w:r w:rsidDel="00000000" w:rsidR="00000000" w:rsidRPr="00000000">
        <w:rPr>
          <w:rFonts w:ascii="Roboto" w:cs="Roboto" w:eastAsia="Roboto" w:hAnsi="Roboto"/>
          <w:color w:val="374151"/>
          <w:sz w:val="24"/>
          <w:szCs w:val="24"/>
          <w:rtl w:val="0"/>
        </w:rPr>
        <w:t xml:space="preserve">Overtrædelser af skattelovgivningen.</w:t>
      </w:r>
    </w:p>
    <w:p w:rsidR="00000000" w:rsidDel="00000000" w:rsidP="00000000" w:rsidRDefault="00000000" w:rsidRPr="00000000" w14:paraId="0000001B">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pPr>
      <w:r w:rsidDel="00000000" w:rsidR="00000000" w:rsidRPr="00000000">
        <w:rPr>
          <w:rFonts w:ascii="Roboto" w:cs="Roboto" w:eastAsia="Roboto" w:hAnsi="Roboto"/>
          <w:color w:val="374151"/>
          <w:sz w:val="24"/>
          <w:szCs w:val="24"/>
          <w:rtl w:val="0"/>
        </w:rPr>
        <w:t xml:space="preserve">Tilsidesættelse af tavshedspligten.</w:t>
      </w:r>
    </w:p>
    <w:p w:rsidR="00000000" w:rsidDel="00000000" w:rsidP="00000000" w:rsidRDefault="00000000" w:rsidRPr="00000000" w14:paraId="0000001C">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pPr>
      <w:r w:rsidDel="00000000" w:rsidR="00000000" w:rsidRPr="00000000">
        <w:rPr>
          <w:rFonts w:ascii="Roboto" w:cs="Roboto" w:eastAsia="Roboto" w:hAnsi="Roboto"/>
          <w:color w:val="374151"/>
          <w:sz w:val="24"/>
          <w:szCs w:val="24"/>
          <w:rtl w:val="0"/>
        </w:rPr>
        <w:t xml:space="preserve">Overtrædelser af lov om bogføring.</w:t>
      </w:r>
    </w:p>
    <w:p w:rsidR="00000000" w:rsidDel="00000000" w:rsidP="00000000" w:rsidRDefault="00000000" w:rsidRPr="00000000" w14:paraId="0000001D">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pPr>
      <w:r w:rsidDel="00000000" w:rsidR="00000000" w:rsidRPr="00000000">
        <w:rPr>
          <w:rFonts w:ascii="Roboto" w:cs="Roboto" w:eastAsia="Roboto" w:hAnsi="Roboto"/>
          <w:color w:val="374151"/>
          <w:sz w:val="24"/>
          <w:szCs w:val="24"/>
          <w:rtl w:val="0"/>
        </w:rPr>
        <w:t xml:space="preserve">Overtrædelser af godskørselsloven, jf. godskørselslovens §§ 17-17 b.</w:t>
      </w:r>
    </w:p>
    <w:p w:rsidR="00000000" w:rsidDel="00000000" w:rsidP="00000000" w:rsidRDefault="00000000" w:rsidRPr="00000000" w14:paraId="0000001E">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pPr>
      <w:r w:rsidDel="00000000" w:rsidR="00000000" w:rsidRPr="00000000">
        <w:rPr>
          <w:rFonts w:ascii="Roboto" w:cs="Roboto" w:eastAsia="Roboto" w:hAnsi="Roboto"/>
          <w:color w:val="374151"/>
          <w:sz w:val="24"/>
          <w:szCs w:val="24"/>
          <w:rtl w:val="0"/>
        </w:rPr>
        <w:t xml:space="preserve">Overtrædelser af luftfartsloven, jf. luftfartslovens § 149.</w:t>
      </w:r>
    </w:p>
    <w:p w:rsidR="00000000" w:rsidDel="00000000" w:rsidP="00000000" w:rsidRDefault="00000000" w:rsidRPr="00000000" w14:paraId="0000001F">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pPr>
      <w:r w:rsidDel="00000000" w:rsidR="00000000" w:rsidRPr="00000000">
        <w:rPr>
          <w:rFonts w:ascii="Roboto" w:cs="Roboto" w:eastAsia="Roboto" w:hAnsi="Roboto"/>
          <w:color w:val="374151"/>
          <w:sz w:val="24"/>
          <w:szCs w:val="24"/>
          <w:rtl w:val="0"/>
        </w:rPr>
        <w:t xml:space="preserve">Tilsidesættelse af en lovbestemt handlepligt.</w:t>
      </w:r>
    </w:p>
    <w:p w:rsidR="00000000" w:rsidDel="00000000" w:rsidP="00000000" w:rsidRDefault="00000000" w:rsidRPr="00000000" w14:paraId="00000020">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pPr>
      <w:r w:rsidDel="00000000" w:rsidR="00000000" w:rsidRPr="00000000">
        <w:rPr>
          <w:rFonts w:ascii="Roboto" w:cs="Roboto" w:eastAsia="Roboto" w:hAnsi="Roboto"/>
          <w:color w:val="374151"/>
          <w:sz w:val="24"/>
          <w:szCs w:val="24"/>
          <w:rtl w:val="0"/>
        </w:rPr>
        <w:t xml:space="preserve">Overtrædelse af regler om magtanvendelse.</w:t>
      </w:r>
    </w:p>
    <w:p w:rsidR="00000000" w:rsidDel="00000000" w:rsidP="00000000" w:rsidRDefault="00000000" w:rsidRPr="00000000" w14:paraId="00000021">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pPr>
      <w:r w:rsidDel="00000000" w:rsidR="00000000" w:rsidRPr="00000000">
        <w:rPr>
          <w:rFonts w:ascii="Roboto" w:cs="Roboto" w:eastAsia="Roboto" w:hAnsi="Roboto"/>
          <w:color w:val="374151"/>
          <w:sz w:val="24"/>
          <w:szCs w:val="24"/>
          <w:rtl w:val="0"/>
        </w:rPr>
        <w:t xml:space="preserve">Grove eller gentagne overtrædelser af forvaltningsretlige principper, herunder undersøgelsesprincippet, krav om saglighed, magtfordrejningsgrundsætningen og proportionalitet (jf. dog nærmere nedenfor om bagatelagtige overtrædelser).</w:t>
      </w:r>
    </w:p>
    <w:p w:rsidR="00000000" w:rsidDel="00000000" w:rsidP="00000000" w:rsidRDefault="00000000" w:rsidRPr="00000000" w14:paraId="00000022">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pPr>
      <w:r w:rsidDel="00000000" w:rsidR="00000000" w:rsidRPr="00000000">
        <w:rPr>
          <w:rFonts w:ascii="Roboto" w:cs="Roboto" w:eastAsia="Roboto" w:hAnsi="Roboto"/>
          <w:color w:val="374151"/>
          <w:sz w:val="24"/>
          <w:szCs w:val="24"/>
          <w:rtl w:val="0"/>
        </w:rPr>
        <w:t xml:space="preserve">Bevidst vildledning af borgere og samarbejdspartnere.</w:t>
      </w:r>
    </w:p>
    <w:p w:rsidR="00000000" w:rsidDel="00000000" w:rsidP="00000000" w:rsidRDefault="00000000" w:rsidRPr="00000000" w14:paraId="00000023">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Chikane</w:t>
      </w:r>
    </w:p>
    <w:p w:rsidR="00000000" w:rsidDel="00000000" w:rsidP="00000000" w:rsidRDefault="00000000" w:rsidRPr="00000000" w14:paraId="00000024">
      <w:pPr>
        <w:numPr>
          <w:ilvl w:val="0"/>
          <w:numId w:val="5"/>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pPr>
      <w:r w:rsidDel="00000000" w:rsidR="00000000" w:rsidRPr="00000000">
        <w:rPr>
          <w:rFonts w:ascii="Roboto" w:cs="Roboto" w:eastAsia="Roboto" w:hAnsi="Roboto"/>
          <w:color w:val="374151"/>
          <w:sz w:val="24"/>
          <w:szCs w:val="24"/>
          <w:rtl w:val="0"/>
        </w:rPr>
        <w:t xml:space="preserve">Seksuel chikane, jf. ligebehandlingslovens § 1, stk. 4, jf. stk. 6.</w:t>
      </w:r>
    </w:p>
    <w:p w:rsidR="00000000" w:rsidDel="00000000" w:rsidP="00000000" w:rsidRDefault="00000000" w:rsidRPr="00000000" w14:paraId="00000025">
      <w:pPr>
        <w:numPr>
          <w:ilvl w:val="0"/>
          <w:numId w:val="5"/>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pPr>
      <w:r w:rsidDel="00000000" w:rsidR="00000000" w:rsidRPr="00000000">
        <w:rPr>
          <w:rFonts w:ascii="Roboto" w:cs="Roboto" w:eastAsia="Roboto" w:hAnsi="Roboto"/>
          <w:color w:val="374151"/>
          <w:sz w:val="24"/>
          <w:szCs w:val="24"/>
          <w:rtl w:val="0"/>
        </w:rPr>
        <w:t xml:space="preserve">Grov chikane, f.eks. på grund af race, køn, farve, national eller social oprindelse, politisk eller religiøst tilhørsforhold.</w:t>
      </w:r>
    </w:p>
    <w:p w:rsidR="00000000" w:rsidDel="00000000" w:rsidP="00000000" w:rsidRDefault="00000000" w:rsidRPr="00000000" w14:paraId="00000026">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Eksempler på alvorlige forhold</w:t>
      </w:r>
    </w:p>
    <w:p w:rsidR="00000000" w:rsidDel="00000000" w:rsidP="00000000" w:rsidRDefault="00000000" w:rsidRPr="00000000" w14:paraId="00000027">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Forhold, der i almindelighed anses som alvorlige:</w:t>
      </w:r>
    </w:p>
    <w:p w:rsidR="00000000" w:rsidDel="00000000" w:rsidP="00000000" w:rsidRDefault="00000000" w:rsidRPr="00000000" w14:paraId="00000028">
      <w:pPr>
        <w:numPr>
          <w:ilvl w:val="0"/>
          <w:numId w:val="3"/>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rPr>
          <w:rFonts w:ascii="Roboto" w:cs="Roboto" w:eastAsia="Roboto" w:hAnsi="Roboto"/>
          <w:color w:val="374151"/>
          <w:sz w:val="24"/>
          <w:szCs w:val="24"/>
          <w:u w:val="none"/>
        </w:rPr>
      </w:pPr>
      <w:r w:rsidDel="00000000" w:rsidR="00000000" w:rsidRPr="00000000">
        <w:rPr>
          <w:rFonts w:ascii="Roboto" w:cs="Roboto" w:eastAsia="Roboto" w:hAnsi="Roboto"/>
          <w:color w:val="374151"/>
          <w:sz w:val="24"/>
          <w:szCs w:val="24"/>
          <w:rtl w:val="0"/>
        </w:rPr>
        <w:t xml:space="preserve">Tilsidesættelse af faglige standarder, der f.eks. vil kunne medføre en risiko for personers sikkerhed og sundhed.</w:t>
      </w:r>
    </w:p>
    <w:p w:rsidR="00000000" w:rsidDel="00000000" w:rsidP="00000000" w:rsidRDefault="00000000" w:rsidRPr="00000000" w14:paraId="00000029">
      <w:pPr>
        <w:numPr>
          <w:ilvl w:val="0"/>
          <w:numId w:val="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pPr>
      <w:r w:rsidDel="00000000" w:rsidR="00000000" w:rsidRPr="00000000">
        <w:rPr>
          <w:rFonts w:ascii="Roboto" w:cs="Roboto" w:eastAsia="Roboto" w:hAnsi="Roboto"/>
          <w:color w:val="374151"/>
          <w:sz w:val="24"/>
          <w:szCs w:val="24"/>
          <w:rtl w:val="0"/>
        </w:rPr>
        <w:t xml:space="preserve">Grove eller gentagne overtrædelser af arbejdspladsens interne retningslinjer om f.eks. tjenesterejser, gaver eller regnskabsaflæggelse (jf. dog nærmere nedenfor om bagatelagtige overtrædelser).</w:t>
      </w:r>
    </w:p>
    <w:p w:rsidR="00000000" w:rsidDel="00000000" w:rsidP="00000000" w:rsidRDefault="00000000" w:rsidRPr="00000000" w14:paraId="0000002A">
      <w:pPr>
        <w:numPr>
          <w:ilvl w:val="0"/>
          <w:numId w:val="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pPr>
      <w:r w:rsidDel="00000000" w:rsidR="00000000" w:rsidRPr="00000000">
        <w:rPr>
          <w:rFonts w:ascii="Roboto" w:cs="Roboto" w:eastAsia="Roboto" w:hAnsi="Roboto"/>
          <w:color w:val="374151"/>
          <w:sz w:val="24"/>
          <w:szCs w:val="24"/>
          <w:rtl w:val="0"/>
        </w:rPr>
        <w:t xml:space="preserve">Alvorlige fejl og alvorlige uregelmæssigheder forbundet med it-drift eller it-systemstyring.</w:t>
      </w:r>
    </w:p>
    <w:p w:rsidR="00000000" w:rsidDel="00000000" w:rsidP="00000000" w:rsidRDefault="00000000" w:rsidRPr="00000000" w14:paraId="0000002B">
      <w:pPr>
        <w:numPr>
          <w:ilvl w:val="0"/>
          <w:numId w:val="3"/>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pPr>
      <w:r w:rsidDel="00000000" w:rsidR="00000000" w:rsidRPr="00000000">
        <w:rPr>
          <w:rFonts w:ascii="Roboto" w:cs="Roboto" w:eastAsia="Roboto" w:hAnsi="Roboto"/>
          <w:color w:val="374151"/>
          <w:sz w:val="24"/>
          <w:szCs w:val="24"/>
          <w:rtl w:val="0"/>
        </w:rPr>
        <w:t xml:space="preserve">Særlige tilfælde, hvor mindre samarbejdsvanskeligheder indebærer store risici, og dermed udgør et alvorligt forhold.</w:t>
      </w:r>
    </w:p>
    <w:p w:rsidR="00000000" w:rsidDel="00000000" w:rsidP="00000000" w:rsidRDefault="00000000" w:rsidRPr="00000000" w14:paraId="0000002C">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Eksempler på oplysninger, som ikke er omfattet af lovens anvendelsesområde</w:t>
      </w:r>
    </w:p>
    <w:p w:rsidR="00000000" w:rsidDel="00000000" w:rsidP="00000000" w:rsidRDefault="00000000" w:rsidRPr="00000000" w14:paraId="0000002D">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pPr>
      <w:r w:rsidDel="00000000" w:rsidR="00000000" w:rsidRPr="00000000">
        <w:rPr>
          <w:rFonts w:ascii="Roboto" w:cs="Roboto" w:eastAsia="Roboto" w:hAnsi="Roboto"/>
          <w:color w:val="374151"/>
          <w:sz w:val="24"/>
          <w:szCs w:val="24"/>
          <w:rtl w:val="0"/>
        </w:rPr>
        <w:t xml:space="preserve">Oplysninger af bagatelagtig karakter, oplysninger om øvrige forhold, herunder oplysninger om overtrædelse af interne retningslinjer om sygefravær, rygning, påklædning eller accessoriske bestemmelser som f.eks. manglende overholdelse af dokumentationspligt.</w:t>
      </w:r>
    </w:p>
    <w:p w:rsidR="00000000" w:rsidDel="00000000" w:rsidP="00000000" w:rsidRDefault="00000000" w:rsidRPr="00000000" w14:paraId="0000002E">
      <w:pPr>
        <w:numPr>
          <w:ilvl w:val="0"/>
          <w:numId w:val="4"/>
        </w:numPr>
        <w:pBdr>
          <w:top w:color="d9d9e3" w:space="0" w:sz="0" w:val="none"/>
          <w:left w:color="d9d9e3" w:space="0" w:sz="0" w:val="none"/>
          <w:bottom w:color="d9d9e3" w:space="0" w:sz="0" w:val="none"/>
          <w:right w:color="d9d9e3" w:space="0" w:sz="0" w:val="none"/>
          <w:between w:color="d9d9e3" w:space="0" w:sz="0" w:val="none"/>
        </w:pBdr>
        <w:spacing w:before="0" w:beforeAutospacing="0" w:lineRule="auto"/>
        <w:ind w:left="720" w:hanging="360"/>
      </w:pPr>
      <w:r w:rsidDel="00000000" w:rsidR="00000000" w:rsidRPr="00000000">
        <w:rPr>
          <w:rFonts w:ascii="Roboto" w:cs="Roboto" w:eastAsia="Roboto" w:hAnsi="Roboto"/>
          <w:color w:val="374151"/>
          <w:sz w:val="24"/>
          <w:szCs w:val="24"/>
          <w:rtl w:val="0"/>
        </w:rPr>
        <w:t xml:space="preserve">Oplysninger om whistleblowers eget ansættelsesforhold, herunder konflikter mellem medarbejdere, samarbejdsvanskeligheder eller forhold, der henhører under det fagretlige system, medmindre der er tale om seksuel chikane eller anden form for grov chikane.</w:t>
      </w:r>
    </w:p>
    <w:p w:rsidR="00000000" w:rsidDel="00000000" w:rsidP="00000000" w:rsidRDefault="00000000" w:rsidRPr="00000000" w14:paraId="0000002F">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